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2674935B" w:rsidR="002F1AED" w:rsidRPr="00335095" w:rsidRDefault="00436A1A" w:rsidP="0008550E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F2F2F2" w:themeFill="background1" w:themeFillShade="F2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754F76">
        <w:rPr>
          <w:rFonts w:ascii="Times New Roman" w:hAnsi="Times New Roman" w:cs="Times New Roman"/>
          <w:b/>
          <w:bCs/>
          <w:color w:val="000000" w:themeColor="text1"/>
          <w:sz w:val="22"/>
          <w:szCs w:val="24"/>
        </w:rPr>
        <w:t xml:space="preserve">ANNEXE </w:t>
      </w:r>
      <w:r w:rsidR="004D1B6D">
        <w:rPr>
          <w:rFonts w:ascii="Times New Roman" w:hAnsi="Times New Roman" w:cs="Times New Roman"/>
          <w:b/>
          <w:bCs/>
          <w:color w:val="000000" w:themeColor="text1"/>
          <w:sz w:val="22"/>
          <w:szCs w:val="24"/>
        </w:rPr>
        <w:t>10</w:t>
      </w:r>
      <w:r w:rsidRPr="00754F76">
        <w:rPr>
          <w:rFonts w:ascii="Times New Roman" w:hAnsi="Times New Roman" w:cs="Times New Roman"/>
          <w:b/>
          <w:bCs/>
          <w:color w:val="000000" w:themeColor="text1"/>
          <w:sz w:val="22"/>
          <w:szCs w:val="24"/>
        </w:rPr>
        <w:t xml:space="preserve"> :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8"/>
        <w:gridCol w:w="4534"/>
        <w:gridCol w:w="7226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26"/>
        <w:gridCol w:w="2522"/>
        <w:gridCol w:w="2517"/>
        <w:gridCol w:w="2520"/>
        <w:gridCol w:w="2520"/>
        <w:gridCol w:w="2523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43"/>
        <w:gridCol w:w="5043"/>
        <w:gridCol w:w="5042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/>
    <w:sectPr w:rsidR="00FE2AF2" w:rsidRPr="00436A1A" w:rsidSect="009B567A">
      <w:headerReference w:type="default" r:id="rId7"/>
      <w:footerReference w:type="default" r:id="rId8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2" w14:textId="5B07D582" w:rsidR="000B247E" w:rsidRPr="00754F76" w:rsidRDefault="000B247E">
    <w:pPr>
      <w:pStyle w:val="Pieddepage"/>
      <w:rPr>
        <w:rFonts w:ascii="Times New Roman" w:hAnsi="Times New Roman" w:cs="Times New Roman"/>
        <w:color w:val="000000" w:themeColor="text1"/>
        <w:sz w:val="16"/>
        <w:szCs w:val="16"/>
      </w:rPr>
    </w:pPr>
    <w:r w:rsidRPr="00754F76">
      <w:rPr>
        <w:rFonts w:ascii="Times New Roman" w:hAnsi="Times New Roman" w:cs="Times New Roman"/>
        <w:color w:val="000000" w:themeColor="text1"/>
        <w:sz w:val="16"/>
        <w:szCs w:val="16"/>
      </w:rPr>
      <w:t xml:space="preserve">ANNEXE </w:t>
    </w:r>
    <w:r w:rsidR="0008550E">
      <w:rPr>
        <w:rFonts w:ascii="Times New Roman" w:hAnsi="Times New Roman" w:cs="Times New Roman"/>
        <w:color w:val="000000" w:themeColor="text1"/>
        <w:sz w:val="16"/>
        <w:szCs w:val="16"/>
      </w:rPr>
      <w:t>au DCE AO 2</w:t>
    </w:r>
    <w:r w:rsidR="00335D75">
      <w:rPr>
        <w:rFonts w:ascii="Times New Roman" w:hAnsi="Times New Roman" w:cs="Times New Roman"/>
        <w:color w:val="000000" w:themeColor="text1"/>
        <w:sz w:val="16"/>
        <w:szCs w:val="16"/>
      </w:rPr>
      <w:t>5-007</w:t>
    </w:r>
    <w:r w:rsidR="0008550E">
      <w:rPr>
        <w:rFonts w:ascii="Times New Roman" w:hAnsi="Times New Roman" w:cs="Times New Roman"/>
        <w:color w:val="000000" w:themeColor="text1"/>
        <w:sz w:val="16"/>
        <w:szCs w:val="16"/>
      </w:rPr>
      <w:t xml:space="preserve">E </w:t>
    </w:r>
    <w:r w:rsidRPr="00754F76">
      <w:rPr>
        <w:rFonts w:ascii="Times New Roman" w:hAnsi="Times New Roman" w:cs="Times New Roman"/>
        <w:color w:val="000000" w:themeColor="text1"/>
        <w:sz w:val="16"/>
        <w:szCs w:val="16"/>
      </w:rPr>
      <w:t xml:space="preserve"> </w:t>
    </w:r>
  </w:p>
  <w:p w14:paraId="1C874C53" w14:textId="77777777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Version 1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>AGEPS – Direction des Achats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0950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</w:tblGrid>
    <w:tr w:rsidR="009B567A" w:rsidRPr="009B567A" w14:paraId="1C874C49" w14:textId="77777777" w:rsidTr="0008550E"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4008BEBA">
                <wp:extent cx="942975" cy="429133"/>
                <wp:effectExtent l="0" t="0" r="0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7432" cy="44026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208DEA96">
                <wp:extent cx="1638300" cy="390525"/>
                <wp:effectExtent l="0" t="0" r="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08550E">
      <w:trPr>
        <w:trHeight w:val="374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397E330D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APPLICATION_DATE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17/05/2022</w:t>
          </w:r>
          <w:bookmarkEnd w:id="0"/>
        </w:p>
      </w:tc>
      <w:tc>
        <w:tcPr>
          <w:tcW w:w="1418" w:type="dxa"/>
          <w:shd w:val="clear" w:color="auto" w:fill="auto"/>
        </w:tcPr>
        <w:p w14:paraId="1C874C4E" w14:textId="7AAAB978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03</w:t>
          </w:r>
          <w:bookmarkEnd w:id="1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8550E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35D7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B6D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C45B7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4F76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C874BEA"/>
  <w15:docId w15:val="{A6B5149D-A9E1-40AD-89B3-E6733EDE6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WARYN Marie-Joséphine</cp:lastModifiedBy>
  <cp:revision>6</cp:revision>
  <cp:lastPrinted>2011-05-24T09:22:00Z</cp:lastPrinted>
  <dcterms:created xsi:type="dcterms:W3CDTF">2023-02-28T15:43:00Z</dcterms:created>
  <dcterms:modified xsi:type="dcterms:W3CDTF">2026-02-03T08:51:00Z</dcterms:modified>
</cp:coreProperties>
</file>